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0"/>
          <w:szCs w:val="60"/>
        </w:rPr>
      </w:pPr>
      <w:r>
        <w:rPr>
          <w:rFonts w:ascii="Impact" w:hAnsi="Impact"/>
          <w:sz w:val="60"/>
          <w:szCs w:val="60"/>
          <w:rtl w:val="0"/>
          <w:lang w:val="en-US"/>
        </w:rPr>
        <w:t>Day 11:19th November:</w:t>
      </w:r>
    </w:p>
    <w:p>
      <w:pPr>
        <w:pStyle w:val="Body"/>
        <w:jc w:val="center"/>
        <w:rPr>
          <w:b w:val="1"/>
          <w:bCs w:val="1"/>
          <w:sz w:val="62"/>
          <w:szCs w:val="62"/>
        </w:rPr>
      </w:pPr>
      <w:r>
        <w:rPr>
          <w:b w:val="1"/>
          <w:bCs w:val="1"/>
          <w:sz w:val="56"/>
          <w:szCs w:val="56"/>
          <w:rtl w:val="0"/>
          <w:lang w:val="en-US"/>
        </w:rPr>
        <w:t>I</w:t>
      </w:r>
      <w:r>
        <w:rPr>
          <w:b w:val="1"/>
          <w:bCs w:val="1"/>
          <w:sz w:val="56"/>
          <w:szCs w:val="56"/>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7"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7"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54"/>
          <w:szCs w:val="54"/>
          <w:rtl w:val="0"/>
          <w:lang w:val="en-US"/>
        </w:rPr>
        <w:t>mece: Enhancing Implementation</w:t>
      </w:r>
      <w:r>
        <w:rPr>
          <w:b w:val="1"/>
          <w:bCs w:val="1"/>
          <w:sz w:val="54"/>
          <w:szCs w:val="54"/>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645610</wp:posOffset>
                </wp:positionV>
                <wp:extent cx="6654339" cy="1239556"/>
                <wp:effectExtent l="0" t="0" r="0" b="0"/>
                <wp:wrapThrough wrapText="bothSides" distL="152400" distR="152400">
                  <wp:wrapPolygon edited="1">
                    <wp:start x="-103" y="-553"/>
                    <wp:lineTo x="0" y="-553"/>
                    <wp:lineTo x="21703" y="-553"/>
                    <wp:lineTo x="21703" y="22153"/>
                    <wp:lineTo x="-103" y="22153"/>
                    <wp:lineTo x="-103" y="-553"/>
                    <wp:lineTo x="0" y="-553"/>
                    <wp:lineTo x="-103" y="-553"/>
                  </wp:wrapPolygon>
                </wp:wrapThrough>
                <wp:docPr id="1073741828" name="officeArt object" descr="Consider : Those who claim to guide, yet refuse to see (Matthew 15:14)  - community decisions need to be well-informed, without pandering to particular personalities- or nations. NOTE Take care to evade ‘ableist’ interpretations of this parable, which is the more valuable where we recognise the “not seeing/grasping” as a choice."/>
                <wp:cNvGraphicFramePr/>
                <a:graphic xmlns:a="http://schemas.openxmlformats.org/drawingml/2006/main">
                  <a:graphicData uri="http://schemas.microsoft.com/office/word/2010/wordprocessingShape">
                    <wps:wsp>
                      <wps:cNvSpPr txBox="1"/>
                      <wps:spPr>
                        <a:xfrm>
                          <a:off x="0" y="0"/>
                          <a:ext cx="6654339" cy="1239556"/>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pPr>
                            <w:r>
                              <w:rPr>
                                <w:sz w:val="28"/>
                                <w:szCs w:val="28"/>
                                <w:rtl w:val="0"/>
                                <w:lang w:val="fr-FR"/>
                              </w:rPr>
                              <w:t>Consider :</w:t>
                            </w:r>
                            <w:r>
                              <w:rPr>
                                <w:sz w:val="28"/>
                                <w:szCs w:val="28"/>
                                <w:rtl w:val="0"/>
                                <w:lang w:val="en-US"/>
                              </w:rPr>
                              <w:t xml:space="preserve"> </w:t>
                            </w:r>
                            <w:r>
                              <w:rPr>
                                <w:b w:val="1"/>
                                <w:bCs w:val="1"/>
                                <w:sz w:val="28"/>
                                <w:szCs w:val="28"/>
                                <w:rtl w:val="0"/>
                                <w:lang w:val="en-US"/>
                              </w:rPr>
                              <w:t xml:space="preserve">Those who claim to guide, yet refuse to see </w:t>
                            </w:r>
                            <w:r>
                              <w:rPr>
                                <w:sz w:val="28"/>
                                <w:szCs w:val="28"/>
                                <w:rtl w:val="0"/>
                                <w:lang w:val="en-US"/>
                              </w:rPr>
                              <w:t>(Matthew 15:14)  - community decisions need to be well-informed, without pandering to particular personalities- or nations</w:t>
                            </w:r>
                            <w:r>
                              <w:rPr>
                                <w:b w:val="1"/>
                                <w:bCs w:val="1"/>
                                <w:sz w:val="28"/>
                                <w:szCs w:val="28"/>
                                <w:rtl w:val="0"/>
                                <w:lang w:val="en-US"/>
                              </w:rPr>
                              <w:t>. NOTE</w:t>
                            </w:r>
                            <w:r>
                              <w:rPr>
                                <w:sz w:val="28"/>
                                <w:szCs w:val="28"/>
                                <w:rtl w:val="0"/>
                                <w:lang w:val="en-US"/>
                              </w:rPr>
                              <w:t xml:space="preserve"> Take care to evade </w:t>
                            </w:r>
                            <w:r>
                              <w:rPr>
                                <w:sz w:val="28"/>
                                <w:szCs w:val="28"/>
                                <w:rtl w:val="0"/>
                                <w:lang w:val="en-US"/>
                              </w:rPr>
                              <w:t>‘</w:t>
                            </w:r>
                            <w:r>
                              <w:rPr>
                                <w:sz w:val="28"/>
                                <w:szCs w:val="28"/>
                                <w:rtl w:val="0"/>
                                <w:lang w:val="en-US"/>
                              </w:rPr>
                              <w:t>ableist</w:t>
                            </w:r>
                            <w:r>
                              <w:rPr>
                                <w:sz w:val="28"/>
                                <w:szCs w:val="28"/>
                                <w:rtl w:val="0"/>
                                <w:lang w:val="en-US"/>
                              </w:rPr>
                              <w:t xml:space="preserve">’ </w:t>
                            </w:r>
                            <w:r>
                              <w:rPr>
                                <w:sz w:val="28"/>
                                <w:szCs w:val="28"/>
                                <w:rtl w:val="0"/>
                                <w:lang w:val="en-US"/>
                              </w:rPr>
                              <w:t xml:space="preserve">interpretations of this parable, which is the more valuable where we recognise the </w:t>
                            </w:r>
                            <w:r>
                              <w:rPr>
                                <w:sz w:val="28"/>
                                <w:szCs w:val="28"/>
                                <w:rtl w:val="0"/>
                                <w:lang w:val="en-US"/>
                              </w:rPr>
                              <w:t>“</w:t>
                            </w:r>
                            <w:r>
                              <w:rPr>
                                <w:sz w:val="28"/>
                                <w:szCs w:val="28"/>
                                <w:rtl w:val="0"/>
                                <w:lang w:val="en-US"/>
                              </w:rPr>
                              <w:t>not seeing/grasping</w:t>
                            </w:r>
                            <w:r>
                              <w:rPr>
                                <w:sz w:val="28"/>
                                <w:szCs w:val="28"/>
                                <w:rtl w:val="0"/>
                                <w:lang w:val="en-US"/>
                              </w:rPr>
                              <w:t xml:space="preserve">” </w:t>
                            </w:r>
                            <w:r>
                              <w:rPr>
                                <w:sz w:val="28"/>
                                <w:szCs w:val="28"/>
                                <w:rtl w:val="0"/>
                                <w:lang w:val="en-US"/>
                              </w:rPr>
                              <w:t>as a choice.</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50.8pt;width:524.0pt;height:97.6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pPr>
                      <w:r>
                        <w:rPr>
                          <w:sz w:val="28"/>
                          <w:szCs w:val="28"/>
                          <w:rtl w:val="0"/>
                          <w:lang w:val="fr-FR"/>
                        </w:rPr>
                        <w:t>Consider :</w:t>
                      </w:r>
                      <w:r>
                        <w:rPr>
                          <w:sz w:val="28"/>
                          <w:szCs w:val="28"/>
                          <w:rtl w:val="0"/>
                          <w:lang w:val="en-US"/>
                        </w:rPr>
                        <w:t xml:space="preserve"> </w:t>
                      </w:r>
                      <w:r>
                        <w:rPr>
                          <w:b w:val="1"/>
                          <w:bCs w:val="1"/>
                          <w:sz w:val="28"/>
                          <w:szCs w:val="28"/>
                          <w:rtl w:val="0"/>
                          <w:lang w:val="en-US"/>
                        </w:rPr>
                        <w:t xml:space="preserve">Those who claim to guide, yet refuse to see </w:t>
                      </w:r>
                      <w:r>
                        <w:rPr>
                          <w:sz w:val="28"/>
                          <w:szCs w:val="28"/>
                          <w:rtl w:val="0"/>
                          <w:lang w:val="en-US"/>
                        </w:rPr>
                        <w:t>(Matthew 15:14)  - community decisions need to be well-informed, without pandering to particular personalities- or nations</w:t>
                      </w:r>
                      <w:r>
                        <w:rPr>
                          <w:b w:val="1"/>
                          <w:bCs w:val="1"/>
                          <w:sz w:val="28"/>
                          <w:szCs w:val="28"/>
                          <w:rtl w:val="0"/>
                          <w:lang w:val="en-US"/>
                        </w:rPr>
                        <w:t>. NOTE</w:t>
                      </w:r>
                      <w:r>
                        <w:rPr>
                          <w:sz w:val="28"/>
                          <w:szCs w:val="28"/>
                          <w:rtl w:val="0"/>
                          <w:lang w:val="en-US"/>
                        </w:rPr>
                        <w:t xml:space="preserve"> Take care to evade </w:t>
                      </w:r>
                      <w:r>
                        <w:rPr>
                          <w:sz w:val="28"/>
                          <w:szCs w:val="28"/>
                          <w:rtl w:val="0"/>
                          <w:lang w:val="en-US"/>
                        </w:rPr>
                        <w:t>‘</w:t>
                      </w:r>
                      <w:r>
                        <w:rPr>
                          <w:sz w:val="28"/>
                          <w:szCs w:val="28"/>
                          <w:rtl w:val="0"/>
                          <w:lang w:val="en-US"/>
                        </w:rPr>
                        <w:t>ableist</w:t>
                      </w:r>
                      <w:r>
                        <w:rPr>
                          <w:sz w:val="28"/>
                          <w:szCs w:val="28"/>
                          <w:rtl w:val="0"/>
                          <w:lang w:val="en-US"/>
                        </w:rPr>
                        <w:t xml:space="preserve">’ </w:t>
                      </w:r>
                      <w:r>
                        <w:rPr>
                          <w:sz w:val="28"/>
                          <w:szCs w:val="28"/>
                          <w:rtl w:val="0"/>
                          <w:lang w:val="en-US"/>
                        </w:rPr>
                        <w:t xml:space="preserve">interpretations of this parable, which is the more valuable where we recognise the </w:t>
                      </w:r>
                      <w:r>
                        <w:rPr>
                          <w:sz w:val="28"/>
                          <w:szCs w:val="28"/>
                          <w:rtl w:val="0"/>
                          <w:lang w:val="en-US"/>
                        </w:rPr>
                        <w:t>“</w:t>
                      </w:r>
                      <w:r>
                        <w:rPr>
                          <w:sz w:val="28"/>
                          <w:szCs w:val="28"/>
                          <w:rtl w:val="0"/>
                          <w:lang w:val="en-US"/>
                        </w:rPr>
                        <w:t>not seeing/grasping</w:t>
                      </w:r>
                      <w:r>
                        <w:rPr>
                          <w:sz w:val="28"/>
                          <w:szCs w:val="28"/>
                          <w:rtl w:val="0"/>
                          <w:lang w:val="en-US"/>
                        </w:rPr>
                        <w:t xml:space="preserve">” </w:t>
                      </w:r>
                      <w:r>
                        <w:rPr>
                          <w:sz w:val="28"/>
                          <w:szCs w:val="28"/>
                          <w:rtl w:val="0"/>
                          <w:lang w:val="en-US"/>
                        </w:rPr>
                        <w:t>as a choice.</w:t>
                      </w:r>
                    </w:p>
                  </w:txbxContent>
                </v:textbox>
                <w10:wrap type="through" side="bothSides" anchorx="margin"/>
              </v:shape>
            </w:pict>
          </mc:Fallback>
        </mc:AlternateContent>
      </w:r>
    </w:p>
    <w:p>
      <w:pPr>
        <w:pStyle w:val="Body"/>
        <w:jc w:val="center"/>
        <w:rPr>
          <w:outline w:val="0"/>
          <w:color w:val="017000"/>
          <w:sz w:val="30"/>
          <w:szCs w:val="30"/>
          <w14:textFill>
            <w14:solidFill>
              <w14:srgbClr w14:val="017100"/>
            </w14:solidFill>
          </w14:textFill>
        </w:rPr>
      </w:pPr>
      <w:r>
        <w:rPr>
          <w:outline w:val="0"/>
          <w:color w:val="017000"/>
          <w:sz w:val="30"/>
          <w:szCs w:val="30"/>
          <w:rtl w:val="0"/>
          <w:lang w:val="en-US"/>
          <w14:textFill>
            <w14:solidFill>
              <w14:srgbClr w14:val="017100"/>
            </w14:solidFill>
          </w14:textFill>
        </w:rPr>
        <w:t>“</w:t>
      </w:r>
      <w:r>
        <w:rPr>
          <w:outline w:val="0"/>
          <w:color w:val="017000"/>
          <w:sz w:val="30"/>
          <w:szCs w:val="30"/>
          <w:rtl w:val="0"/>
          <w:lang w:val="en-US"/>
          <w14:textFill>
            <w14:solidFill>
              <w14:srgbClr w14:val="017100"/>
            </w14:solidFill>
          </w14:textFill>
        </w:rPr>
        <w:t>Imece</w:t>
      </w:r>
      <w:r>
        <w:rPr>
          <w:outline w:val="0"/>
          <w:color w:val="017000"/>
          <w:sz w:val="30"/>
          <w:szCs w:val="30"/>
          <w:rtl w:val="0"/>
          <w:lang w:val="en-US"/>
          <w14:textFill>
            <w14:solidFill>
              <w14:srgbClr w14:val="017100"/>
            </w14:solidFill>
          </w14:textFill>
        </w:rPr>
        <w:t xml:space="preserve">” </w:t>
      </w:r>
      <w:r>
        <w:rPr>
          <w:outline w:val="0"/>
          <w:color w:val="017000"/>
          <w:sz w:val="30"/>
          <w:szCs w:val="30"/>
          <w:rtl w:val="0"/>
          <w:lang w:val="en-US"/>
          <w14:textFill>
            <w14:solidFill>
              <w14:srgbClr w14:val="017100"/>
            </w14:solidFill>
          </w14:textFill>
        </w:rPr>
        <w:t xml:space="preserve">is a </w:t>
      </w:r>
      <w:r>
        <w:rPr>
          <w:outline w:val="0"/>
          <w:color w:val="017000"/>
          <w:sz w:val="30"/>
          <w:szCs w:val="30"/>
          <w:rtl w:val="0"/>
          <w:lang w:val="en-US"/>
          <w14:textFill>
            <w14:solidFill>
              <w14:srgbClr w14:val="017100"/>
            </w14:solidFill>
          </w14:textFill>
        </w:rPr>
        <w:t>traditional Turkish word for  communal, cooperative work where community members voluntarily pool their labo</w:t>
      </w:r>
      <w:r>
        <w:rPr>
          <w:outline w:val="0"/>
          <w:color w:val="017000"/>
          <w:sz w:val="30"/>
          <w:szCs w:val="30"/>
          <w:rtl w:val="0"/>
          <w:lang w:val="en-US"/>
          <w14:textFill>
            <w14:solidFill>
              <w14:srgbClr w14:val="017100"/>
            </w14:solidFill>
          </w14:textFill>
        </w:rPr>
        <w:t>u</w:t>
      </w:r>
      <w:r>
        <w:rPr>
          <w:outline w:val="0"/>
          <w:color w:val="017000"/>
          <w:sz w:val="30"/>
          <w:szCs w:val="30"/>
          <w:rtl w:val="0"/>
          <w:lang w:val="en-US"/>
          <w14:textFill>
            <w14:solidFill>
              <w14:srgbClr w14:val="017100"/>
            </w14:solidFill>
          </w14:textFill>
        </w:rPr>
        <w:t>r to help one another finish heavy tasks (such as harvesting or building)</w:t>
      </w:r>
    </w:p>
    <w:p>
      <w:pPr>
        <w:pStyle w:val="Body"/>
        <w:jc w:val="center"/>
        <w:rPr>
          <w:outline w:val="0"/>
          <w:color w:val="017000"/>
          <w:sz w:val="26"/>
          <w:szCs w:val="26"/>
          <w14:textFill>
            <w14:solidFill>
              <w14:srgbClr w14:val="017100"/>
            </w14:solidFill>
          </w14:textFill>
        </w:rPr>
      </w:pPr>
    </w:p>
    <w:p>
      <w:pPr>
        <w:pStyle w:val="Body"/>
        <w:jc w:val="left"/>
        <w:rPr>
          <w:b w:val="1"/>
          <w:bCs w:val="1"/>
          <w:sz w:val="30"/>
          <w:szCs w:val="30"/>
        </w:rPr>
      </w:pPr>
      <w:r>
        <w:rPr>
          <w:b w:val="1"/>
          <w:bCs w:val="1"/>
          <w:sz w:val="30"/>
          <w:szCs w:val="30"/>
          <w:rtl w:val="0"/>
          <w:lang w:val="en-US"/>
        </w:rPr>
        <w:t>God our Friend and Guide</w:t>
      </w:r>
    </w:p>
    <w:p>
      <w:pPr>
        <w:pStyle w:val="Body"/>
        <w:jc w:val="left"/>
        <w:rPr>
          <w:b w:val="1"/>
          <w:bCs w:val="1"/>
          <w:sz w:val="30"/>
          <w:szCs w:val="30"/>
        </w:rPr>
      </w:pPr>
      <w:r>
        <w:rPr>
          <w:b w:val="1"/>
          <w:bCs w:val="1"/>
          <w:sz w:val="30"/>
          <w:szCs w:val="30"/>
          <w:rtl w:val="0"/>
          <w:lang w:val="en-US"/>
        </w:rPr>
        <w:t xml:space="preserve">hear our prayer for all those who will engage in negotiations today: give them courage, faith, hope, and love for fellow creatures. </w:t>
      </w:r>
    </w:p>
    <w:p>
      <w:pPr>
        <w:pStyle w:val="Body"/>
        <w:jc w:val="left"/>
        <w:rPr>
          <w:b w:val="1"/>
          <w:bCs w:val="1"/>
          <w:sz w:val="30"/>
          <w:szCs w:val="30"/>
        </w:rPr>
      </w:pPr>
    </w:p>
    <w:p>
      <w:pPr>
        <w:pStyle w:val="Body"/>
        <w:jc w:val="left"/>
        <w:rPr>
          <w:b w:val="1"/>
          <w:bCs w:val="1"/>
          <w:sz w:val="30"/>
          <w:szCs w:val="30"/>
        </w:rPr>
      </w:pPr>
      <w:r>
        <w:rPr>
          <w:b w:val="1"/>
          <w:bCs w:val="1"/>
          <w:sz w:val="30"/>
          <w:szCs w:val="30"/>
          <w:rtl w:val="0"/>
          <w:lang w:val="en-US"/>
        </w:rPr>
        <w:t>We pray for honesty about the need to end fossil fuels.</w:t>
      </w:r>
    </w:p>
    <w:p>
      <w:pPr>
        <w:pStyle w:val="Body"/>
        <w:jc w:val="left"/>
        <w:rPr>
          <w:b w:val="1"/>
          <w:bCs w:val="1"/>
          <w:sz w:val="30"/>
          <w:szCs w:val="30"/>
        </w:rPr>
      </w:pPr>
    </w:p>
    <w:p>
      <w:pPr>
        <w:pStyle w:val="Body"/>
        <w:jc w:val="left"/>
        <w:rPr>
          <w:b w:val="1"/>
          <w:bCs w:val="1"/>
          <w:sz w:val="30"/>
          <w:szCs w:val="30"/>
        </w:rPr>
      </w:pPr>
      <w:r>
        <w:rPr>
          <w:b w:val="1"/>
          <w:bCs w:val="1"/>
          <w:sz w:val="30"/>
          <w:szCs w:val="30"/>
          <w:rtl w:val="0"/>
          <w:lang w:val="en-US"/>
        </w:rPr>
        <w:t>And for those who look on, or merely hear the news, help us truly value whatever progress will be  made within this forum of science, cultures,  and nations, even as some will certainly have laboured, with power an influence, to hold things back.</w:t>
      </w:r>
    </w:p>
    <w:p>
      <w:pPr>
        <w:pStyle w:val="Body"/>
        <w:jc w:val="left"/>
      </w:pPr>
      <w:r>
        <w:rPr>
          <w:b w:val="1"/>
          <w:bCs w:val="1"/>
          <w:sz w:val="30"/>
          <w:szCs w:val="30"/>
          <w:rtl w:val="0"/>
          <w:lang w:val="en-US"/>
        </w:rPr>
        <w:t xml:space="preserve">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